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CA3DEF" w:rsidRDefault="00D965CE" w:rsidP="00D965CE">
      <w:pPr>
        <w:jc w:val="center"/>
        <w:rPr>
          <w:rFonts w:ascii="Arial" w:hAnsi="Arial" w:cs="Arial"/>
          <w:sz w:val="28"/>
        </w:rPr>
      </w:pPr>
      <w:r w:rsidRPr="00CA3DEF">
        <w:rPr>
          <w:rFonts w:ascii="Arial" w:hAnsi="Arial" w:cs="Arial"/>
          <w:sz w:val="28"/>
        </w:rPr>
        <w:t>Miyazaki International College</w:t>
      </w:r>
    </w:p>
    <w:p w:rsidR="009B08F6" w:rsidRDefault="00D93D35" w:rsidP="00D965CE">
      <w:pPr>
        <w:jc w:val="center"/>
        <w:rPr>
          <w:rFonts w:ascii="Arial" w:hAnsi="Arial" w:cs="Arial"/>
          <w:sz w:val="28"/>
        </w:rPr>
      </w:pPr>
      <w:r w:rsidRPr="00CA3DEF">
        <w:rPr>
          <w:rFonts w:ascii="Arial" w:hAnsi="Arial" w:cs="Arial"/>
          <w:sz w:val="28"/>
        </w:rPr>
        <w:t>Course Syllabus</w:t>
      </w:r>
    </w:p>
    <w:p w:rsidR="00DC05D4" w:rsidRPr="00CA3DEF" w:rsidRDefault="0015520C" w:rsidP="00404484">
      <w:pPr>
        <w:jc w:val="center"/>
        <w:rPr>
          <w:rFonts w:ascii="Arial" w:hAnsi="Arial" w:cs="Arial"/>
          <w:sz w:val="24"/>
        </w:rPr>
      </w:pPr>
      <w:r>
        <w:rPr>
          <w:rFonts w:ascii="Arial" w:hAnsi="Arial" w:cs="Arial"/>
          <w:sz w:val="28"/>
        </w:rPr>
        <w:t>Fall 2019</w:t>
      </w:r>
      <w:bookmarkStart w:id="0" w:name="_GoBack"/>
      <w:bookmarkEnd w:id="0"/>
    </w:p>
    <w:p w:rsidR="00320BD2" w:rsidRPr="00CA3DEF" w:rsidRDefault="00320BD2"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Course Title ( Credits )</w:t>
            </w:r>
          </w:p>
        </w:tc>
        <w:tc>
          <w:tcPr>
            <w:tcW w:w="6879" w:type="dxa"/>
          </w:tcPr>
          <w:p w:rsidR="005B36FB" w:rsidRPr="00CA3DEF" w:rsidRDefault="007D705C" w:rsidP="007A4C1F">
            <w:pPr>
              <w:rPr>
                <w:rFonts w:ascii="Arial" w:hAnsi="Arial" w:cs="Arial"/>
                <w:sz w:val="22"/>
                <w:szCs w:val="22"/>
              </w:rPr>
            </w:pPr>
            <w:r w:rsidRPr="00CA3DEF">
              <w:rPr>
                <w:rFonts w:ascii="Arial" w:hAnsi="Arial" w:cs="Arial"/>
                <w:sz w:val="22"/>
                <w:szCs w:val="22"/>
              </w:rPr>
              <w:t>EDU30</w:t>
            </w:r>
            <w:r w:rsidR="007A4C1F" w:rsidRPr="00CA3DEF">
              <w:rPr>
                <w:rFonts w:ascii="Arial" w:hAnsi="Arial" w:cs="Arial"/>
                <w:sz w:val="22"/>
                <w:szCs w:val="22"/>
              </w:rPr>
              <w:t>9</w:t>
            </w:r>
            <w:r w:rsidR="00CF20AF" w:rsidRPr="00CA3DEF">
              <w:rPr>
                <w:rFonts w:asciiTheme="majorEastAsia" w:eastAsiaTheme="majorEastAsia" w:hAnsiTheme="majorEastAsia" w:cs="Arial" w:hint="eastAsia"/>
                <w:sz w:val="22"/>
                <w:szCs w:val="22"/>
              </w:rPr>
              <w:t>：</w:t>
            </w:r>
            <w:r w:rsidR="007A4C1F" w:rsidRPr="00CA3DEF">
              <w:rPr>
                <w:rFonts w:asciiTheme="majorEastAsia" w:eastAsiaTheme="majorEastAsia" w:hAnsiTheme="majorEastAsia" w:cs="Arial" w:hint="eastAsia"/>
                <w:sz w:val="22"/>
                <w:szCs w:val="22"/>
              </w:rPr>
              <w:t>道徳</w:t>
            </w:r>
            <w:r w:rsidRPr="00CA3DEF">
              <w:rPr>
                <w:rFonts w:asciiTheme="majorEastAsia" w:eastAsiaTheme="majorEastAsia" w:hAnsiTheme="majorEastAsia" w:cs="Arial" w:hint="eastAsia"/>
                <w:sz w:val="22"/>
                <w:szCs w:val="22"/>
              </w:rPr>
              <w:t>教育論</w:t>
            </w:r>
            <w:r w:rsidR="007A4C1F" w:rsidRPr="00CA3DEF">
              <w:rPr>
                <w:rFonts w:asciiTheme="majorEastAsia" w:eastAsiaTheme="majorEastAsia" w:hAnsiTheme="majorEastAsia" w:cs="Arial" w:hint="eastAsia"/>
                <w:sz w:val="22"/>
                <w:szCs w:val="22"/>
              </w:rPr>
              <w:t xml:space="preserve"> </w:t>
            </w:r>
            <w:r w:rsidR="00CF20AF" w:rsidRPr="00CA3DEF">
              <w:rPr>
                <w:rFonts w:ascii="Arial" w:hAnsi="Arial" w:cs="Arial"/>
                <w:sz w:val="22"/>
                <w:szCs w:val="22"/>
              </w:rPr>
              <w:t>(2 credits)</w:t>
            </w:r>
          </w:p>
        </w:tc>
      </w:tr>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Course Designation for TC</w:t>
            </w:r>
          </w:p>
        </w:tc>
        <w:tc>
          <w:tcPr>
            <w:tcW w:w="6879" w:type="dxa"/>
          </w:tcPr>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教員の免許状取得のための必修科目</w:t>
            </w:r>
          </w:p>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【科目】</w:t>
            </w:r>
          </w:p>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道徳的、総合的な学習の時間等の指導法及び生徒指導、教育相談等に関する科目</w:t>
            </w:r>
          </w:p>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【各科目に含めることが必要な事項】</w:t>
            </w:r>
          </w:p>
          <w:p w:rsidR="003A6C2B" w:rsidRPr="00CA3DEF" w:rsidRDefault="007A4C1F" w:rsidP="007A4C1F">
            <w:pPr>
              <w:rPr>
                <w:rFonts w:ascii="Arial" w:hAnsi="Arial" w:cs="Arial"/>
                <w:sz w:val="22"/>
                <w:szCs w:val="22"/>
              </w:rPr>
            </w:pPr>
            <w:r w:rsidRPr="00CA3DEF">
              <w:rPr>
                <w:rFonts w:ascii="ＭＳ ゴシック" w:eastAsia="ＭＳ ゴシック" w:hAnsi="ＭＳ ゴシック" w:cs="Arial" w:hint="eastAsia"/>
                <w:sz w:val="18"/>
                <w:szCs w:val="22"/>
              </w:rPr>
              <w:t>道徳の理論及び指導法</w:t>
            </w:r>
          </w:p>
        </w:tc>
      </w:tr>
      <w:tr w:rsidR="005B36FB" w:rsidRPr="00CA3DEF" w:rsidTr="005B36FB">
        <w:tc>
          <w:tcPr>
            <w:tcW w:w="9736" w:type="dxa"/>
            <w:gridSpan w:val="2"/>
            <w:vAlign w:val="center"/>
          </w:tcPr>
          <w:p w:rsidR="005B36FB" w:rsidRPr="00CA3DEF" w:rsidRDefault="005B36FB" w:rsidP="005B36FB">
            <w:pPr>
              <w:jc w:val="center"/>
              <w:rPr>
                <w:rFonts w:ascii="Arial" w:hAnsi="Arial" w:cs="Arial"/>
                <w:sz w:val="22"/>
                <w:szCs w:val="22"/>
              </w:rPr>
            </w:pPr>
            <w:r w:rsidRPr="00CA3DEF">
              <w:rPr>
                <w:rFonts w:ascii="Arial" w:hAnsi="Arial" w:cs="Arial"/>
                <w:sz w:val="22"/>
                <w:szCs w:val="22"/>
              </w:rPr>
              <w:t>Content Teacher</w:t>
            </w:r>
          </w:p>
        </w:tc>
      </w:tr>
      <w:tr w:rsidR="007A4C1F" w:rsidRPr="00CA3DEF" w:rsidTr="005B36FB">
        <w:tc>
          <w:tcPr>
            <w:tcW w:w="2857" w:type="dxa"/>
          </w:tcPr>
          <w:p w:rsidR="007A4C1F" w:rsidRPr="00CA3DEF" w:rsidRDefault="007A4C1F" w:rsidP="007A4C1F">
            <w:pPr>
              <w:rPr>
                <w:rFonts w:ascii="Arial" w:hAnsi="Arial" w:cs="Arial"/>
                <w:sz w:val="22"/>
                <w:szCs w:val="22"/>
              </w:rPr>
            </w:pPr>
            <w:r w:rsidRPr="00CA3DEF">
              <w:rPr>
                <w:rFonts w:ascii="Arial" w:hAnsi="Arial" w:cs="Arial"/>
                <w:sz w:val="22"/>
                <w:szCs w:val="22"/>
              </w:rPr>
              <w:t>Instructor</w:t>
            </w:r>
          </w:p>
        </w:tc>
        <w:tc>
          <w:tcPr>
            <w:tcW w:w="6879" w:type="dxa"/>
          </w:tcPr>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清 智利（単独）</w:t>
            </w:r>
          </w:p>
        </w:tc>
      </w:tr>
      <w:tr w:rsidR="007A4C1F" w:rsidRPr="00CA3DEF" w:rsidTr="005B36FB">
        <w:tc>
          <w:tcPr>
            <w:tcW w:w="2857" w:type="dxa"/>
          </w:tcPr>
          <w:p w:rsidR="007A4C1F" w:rsidRPr="00CA3DEF" w:rsidRDefault="007A4C1F" w:rsidP="007A4C1F">
            <w:pPr>
              <w:rPr>
                <w:rFonts w:ascii="Arial" w:hAnsi="Arial" w:cs="Arial"/>
                <w:sz w:val="22"/>
                <w:szCs w:val="22"/>
              </w:rPr>
            </w:pPr>
            <w:r w:rsidRPr="00CA3DEF">
              <w:rPr>
                <w:rFonts w:ascii="Arial" w:hAnsi="Arial" w:cs="Arial"/>
                <w:sz w:val="22"/>
                <w:szCs w:val="22"/>
              </w:rPr>
              <w:t>E-mail address</w:t>
            </w:r>
          </w:p>
        </w:tc>
        <w:tc>
          <w:tcPr>
            <w:tcW w:w="6879" w:type="dxa"/>
          </w:tcPr>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sz w:val="18"/>
                <w:szCs w:val="22"/>
              </w:rPr>
              <w:t>csei@sky.miyazaki-mic.ac.jp</w:t>
            </w:r>
          </w:p>
        </w:tc>
      </w:tr>
      <w:tr w:rsidR="007A4C1F" w:rsidRPr="00CA3DEF" w:rsidTr="005B36FB">
        <w:tc>
          <w:tcPr>
            <w:tcW w:w="2857" w:type="dxa"/>
          </w:tcPr>
          <w:p w:rsidR="007A4C1F" w:rsidRPr="00CA3DEF" w:rsidRDefault="007A4C1F" w:rsidP="007A4C1F">
            <w:pPr>
              <w:rPr>
                <w:rFonts w:ascii="Arial" w:hAnsi="Arial" w:cs="Arial"/>
                <w:sz w:val="22"/>
                <w:szCs w:val="22"/>
              </w:rPr>
            </w:pPr>
            <w:r w:rsidRPr="00CA3DEF">
              <w:rPr>
                <w:rFonts w:ascii="Arial" w:hAnsi="Arial" w:cs="Arial"/>
                <w:sz w:val="22"/>
                <w:szCs w:val="22"/>
              </w:rPr>
              <w:t>Office/Ext</w:t>
            </w:r>
          </w:p>
        </w:tc>
        <w:tc>
          <w:tcPr>
            <w:tcW w:w="6879" w:type="dxa"/>
          </w:tcPr>
          <w:p w:rsidR="007A4C1F" w:rsidRPr="00CA3DEF" w:rsidRDefault="007A4C1F" w:rsidP="007A4C1F">
            <w:pPr>
              <w:rPr>
                <w:rFonts w:ascii="ＭＳ ゴシック" w:eastAsia="ＭＳ ゴシック" w:hAnsi="ＭＳ ゴシック" w:cs="Arial"/>
                <w:sz w:val="18"/>
                <w:szCs w:val="22"/>
              </w:rPr>
            </w:pPr>
          </w:p>
        </w:tc>
      </w:tr>
      <w:tr w:rsidR="007A4C1F" w:rsidRPr="00CA3DEF" w:rsidTr="005B36FB">
        <w:tc>
          <w:tcPr>
            <w:tcW w:w="2857" w:type="dxa"/>
          </w:tcPr>
          <w:p w:rsidR="007A4C1F" w:rsidRPr="00CA3DEF" w:rsidRDefault="007A4C1F" w:rsidP="007A4C1F">
            <w:pPr>
              <w:rPr>
                <w:rFonts w:ascii="Arial" w:hAnsi="Arial" w:cs="Arial"/>
                <w:sz w:val="22"/>
                <w:szCs w:val="22"/>
              </w:rPr>
            </w:pPr>
            <w:r w:rsidRPr="00CA3DEF">
              <w:rPr>
                <w:rFonts w:ascii="Arial" w:hAnsi="Arial" w:cs="Arial"/>
                <w:sz w:val="22"/>
                <w:szCs w:val="22"/>
              </w:rPr>
              <w:t>Office hours</w:t>
            </w:r>
          </w:p>
        </w:tc>
        <w:tc>
          <w:tcPr>
            <w:tcW w:w="6879" w:type="dxa"/>
          </w:tcPr>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質問はメールで受け付けます。</w:t>
            </w:r>
          </w:p>
        </w:tc>
      </w:tr>
      <w:tr w:rsidR="005B36FB" w:rsidRPr="00CA3DEF" w:rsidTr="005B36FB">
        <w:tc>
          <w:tcPr>
            <w:tcW w:w="9736" w:type="dxa"/>
            <w:gridSpan w:val="2"/>
            <w:vAlign w:val="center"/>
          </w:tcPr>
          <w:p w:rsidR="005B36FB" w:rsidRPr="00CA3DEF" w:rsidRDefault="005B36FB" w:rsidP="005B36FB">
            <w:pPr>
              <w:jc w:val="center"/>
              <w:rPr>
                <w:rFonts w:ascii="Arial" w:hAnsi="Arial" w:cs="Arial"/>
                <w:sz w:val="22"/>
                <w:szCs w:val="22"/>
              </w:rPr>
            </w:pPr>
            <w:r w:rsidRPr="00CA3DEF">
              <w:rPr>
                <w:rFonts w:ascii="Arial" w:hAnsi="Arial" w:cs="Arial"/>
                <w:sz w:val="22"/>
                <w:szCs w:val="22"/>
              </w:rPr>
              <w:t>Language Teacher</w:t>
            </w:r>
          </w:p>
        </w:tc>
      </w:tr>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Instructor</w:t>
            </w:r>
          </w:p>
        </w:tc>
        <w:tc>
          <w:tcPr>
            <w:tcW w:w="6879" w:type="dxa"/>
          </w:tcPr>
          <w:p w:rsidR="005B36FB" w:rsidRPr="00CA3DEF" w:rsidRDefault="005B36FB" w:rsidP="005B36FB">
            <w:pPr>
              <w:rPr>
                <w:rFonts w:ascii="Arial" w:hAnsi="Arial" w:cs="Arial"/>
                <w:sz w:val="22"/>
                <w:szCs w:val="22"/>
              </w:rPr>
            </w:pPr>
          </w:p>
        </w:tc>
      </w:tr>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E-mail address</w:t>
            </w:r>
          </w:p>
        </w:tc>
        <w:tc>
          <w:tcPr>
            <w:tcW w:w="6879" w:type="dxa"/>
          </w:tcPr>
          <w:p w:rsidR="005B36FB" w:rsidRPr="00CA3DEF" w:rsidRDefault="005B36FB" w:rsidP="005B36FB">
            <w:pPr>
              <w:rPr>
                <w:rFonts w:ascii="Arial" w:hAnsi="Arial" w:cs="Arial"/>
                <w:sz w:val="22"/>
                <w:szCs w:val="22"/>
              </w:rPr>
            </w:pPr>
          </w:p>
        </w:tc>
      </w:tr>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Office/Ext</w:t>
            </w:r>
          </w:p>
        </w:tc>
        <w:tc>
          <w:tcPr>
            <w:tcW w:w="6879" w:type="dxa"/>
          </w:tcPr>
          <w:p w:rsidR="005B36FB" w:rsidRPr="00CA3DEF" w:rsidRDefault="005B36FB" w:rsidP="005B36FB">
            <w:pPr>
              <w:rPr>
                <w:rFonts w:ascii="Arial" w:hAnsi="Arial" w:cs="Arial"/>
                <w:sz w:val="22"/>
                <w:szCs w:val="22"/>
              </w:rPr>
            </w:pPr>
          </w:p>
        </w:tc>
      </w:tr>
      <w:tr w:rsidR="005B36FB" w:rsidRPr="00CA3DEF" w:rsidTr="005B36FB">
        <w:tc>
          <w:tcPr>
            <w:tcW w:w="2857" w:type="dxa"/>
          </w:tcPr>
          <w:p w:rsidR="005B36FB" w:rsidRPr="00CA3DEF" w:rsidRDefault="005B36FB" w:rsidP="005B36FB">
            <w:pPr>
              <w:rPr>
                <w:rFonts w:ascii="Arial" w:hAnsi="Arial" w:cs="Arial"/>
                <w:sz w:val="22"/>
                <w:szCs w:val="22"/>
              </w:rPr>
            </w:pPr>
            <w:r w:rsidRPr="00CA3DEF">
              <w:rPr>
                <w:rFonts w:ascii="Arial" w:hAnsi="Arial" w:cs="Arial"/>
                <w:sz w:val="22"/>
                <w:szCs w:val="22"/>
              </w:rPr>
              <w:t>Office hours</w:t>
            </w:r>
          </w:p>
        </w:tc>
        <w:tc>
          <w:tcPr>
            <w:tcW w:w="6879" w:type="dxa"/>
          </w:tcPr>
          <w:p w:rsidR="005B36FB" w:rsidRPr="00CA3DEF" w:rsidRDefault="005B36FB" w:rsidP="005B36FB">
            <w:pPr>
              <w:rPr>
                <w:rFonts w:ascii="Arial" w:hAnsi="Arial" w:cs="Arial"/>
                <w:sz w:val="22"/>
                <w:szCs w:val="22"/>
              </w:rPr>
            </w:pPr>
          </w:p>
        </w:tc>
      </w:tr>
    </w:tbl>
    <w:p w:rsidR="00D60C5E" w:rsidRPr="00CA3DEF"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CA3DEF" w:rsidTr="00817329">
        <w:tc>
          <w:tcPr>
            <w:tcW w:w="9736" w:type="dxa"/>
            <w:gridSpan w:val="3"/>
            <w:shd w:val="clear" w:color="auto" w:fill="auto"/>
          </w:tcPr>
          <w:p w:rsidR="009B08F6" w:rsidRPr="00CA3DEF" w:rsidRDefault="00D362C6" w:rsidP="009B08F6">
            <w:pPr>
              <w:rPr>
                <w:rFonts w:ascii="Arial" w:hAnsi="Arial" w:cs="Arial"/>
                <w:sz w:val="22"/>
                <w:szCs w:val="22"/>
              </w:rPr>
            </w:pPr>
            <w:r w:rsidRPr="00CA3DEF">
              <w:rPr>
                <w:rFonts w:ascii="Arial" w:hAnsi="Arial" w:cs="Arial"/>
                <w:sz w:val="22"/>
                <w:szCs w:val="22"/>
              </w:rPr>
              <w:t>Course De</w:t>
            </w:r>
            <w:r w:rsidR="009B08F6" w:rsidRPr="00CA3DEF">
              <w:rPr>
                <w:rFonts w:ascii="Arial" w:hAnsi="Arial" w:cs="Arial"/>
                <w:sz w:val="22"/>
                <w:szCs w:val="22"/>
              </w:rPr>
              <w:t>scription:</w:t>
            </w:r>
          </w:p>
        </w:tc>
      </w:tr>
      <w:tr w:rsidR="007F5C62" w:rsidRPr="00CA3DEF" w:rsidTr="007A4C1F">
        <w:trPr>
          <w:trHeight w:val="2287"/>
        </w:trPr>
        <w:tc>
          <w:tcPr>
            <w:tcW w:w="9736" w:type="dxa"/>
            <w:gridSpan w:val="3"/>
            <w:shd w:val="clear" w:color="auto" w:fill="auto"/>
          </w:tcPr>
          <w:p w:rsidR="007A4C1F" w:rsidRPr="00CA3DEF" w:rsidRDefault="007A4C1F" w:rsidP="007A4C1F">
            <w:pPr>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【全体目標】</w:t>
            </w:r>
          </w:p>
          <w:p w:rsidR="007A4C1F" w:rsidRPr="00CA3DEF" w:rsidRDefault="007A4C1F" w:rsidP="004C3805">
            <w:pPr>
              <w:ind w:firstLineChars="100" w:firstLine="180"/>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道徳教育は、教育基本法及び学校教育法に定められた教育の根本精神を踏まえ、自己の生き方や人間としての生き方を考え、主体的な判断の下に行動し、自立した人間として他者と共によりよく生きるための基盤となる道徳性を育成する教育活動である。</w:t>
            </w:r>
          </w:p>
          <w:p w:rsidR="005B36FB" w:rsidRPr="00CA3DEF" w:rsidRDefault="007A4C1F" w:rsidP="007A4C1F">
            <w:pPr>
              <w:ind w:firstLineChars="100" w:firstLine="180"/>
              <w:rPr>
                <w:rFonts w:ascii="Arial" w:hAnsi="Arial" w:cs="Arial"/>
                <w:sz w:val="22"/>
                <w:szCs w:val="22"/>
              </w:rPr>
            </w:pPr>
            <w:r w:rsidRPr="00CA3DEF">
              <w:rPr>
                <w:rFonts w:ascii="ＭＳ ゴシック" w:eastAsia="ＭＳ ゴシック" w:hAnsi="ＭＳ ゴシック" w:cs="Arial" w:hint="eastAsia"/>
                <w:sz w:val="18"/>
                <w:szCs w:val="22"/>
              </w:rPr>
              <w:t>道徳の意義や原理等を踏まえ、学校の教育活動全体を通じて行う道徳教育及びその要となる道徳科の目標や内容、指導計画等を理解するとともに、教材研究や学習指導案の作成、模擬授業等を通して、実践的な指導力を身に付ける。</w:t>
            </w:r>
          </w:p>
        </w:tc>
      </w:tr>
      <w:tr w:rsidR="009B08F6" w:rsidRPr="00CA3DEF" w:rsidTr="00817329">
        <w:tc>
          <w:tcPr>
            <w:tcW w:w="9736" w:type="dxa"/>
            <w:gridSpan w:val="3"/>
            <w:shd w:val="clear" w:color="auto" w:fill="auto"/>
          </w:tcPr>
          <w:p w:rsidR="009B08F6" w:rsidRPr="00CA3DEF" w:rsidRDefault="009B08F6" w:rsidP="001B5801">
            <w:pPr>
              <w:rPr>
                <w:rFonts w:ascii="Arial" w:hAnsi="Arial" w:cs="Arial"/>
                <w:sz w:val="22"/>
                <w:szCs w:val="22"/>
              </w:rPr>
            </w:pPr>
            <w:r w:rsidRPr="00CA3DEF">
              <w:rPr>
                <w:rFonts w:ascii="Arial" w:hAnsi="Arial" w:cs="Arial"/>
                <w:sz w:val="22"/>
                <w:szCs w:val="22"/>
              </w:rPr>
              <w:t>Course Objectives:</w:t>
            </w:r>
          </w:p>
        </w:tc>
      </w:tr>
      <w:tr w:rsidR="005B36FB" w:rsidRPr="00CA3DEF" w:rsidTr="00817329">
        <w:tc>
          <w:tcPr>
            <w:tcW w:w="9736" w:type="dxa"/>
            <w:gridSpan w:val="3"/>
            <w:shd w:val="clear" w:color="auto" w:fill="auto"/>
          </w:tcPr>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【一般目標】</w:t>
            </w:r>
          </w:p>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(1)道徳の理論</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道徳の意義や原理等を踏まえ、学校における道徳教育の目標や内容を理解する。</w:t>
            </w:r>
          </w:p>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(2)道徳の指導法</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学校の教育活動全体を通じて行う道徳教育及びその要となる道徳科における指導計画や指導方法を理解する。</w:t>
            </w:r>
          </w:p>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【到達目標】</w:t>
            </w:r>
          </w:p>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(1)道徳の理論</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1)道徳の本質(道徳とは何か)を説明できる。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lastRenderedPageBreak/>
              <w:t>2)道徳教育の歴史や現代社会における道徳教育の課題(いじめ・情報モラル等)を理解している。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3)子供の心の成長と道徳性の発達について理解している。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4)学習指導要領に示された道徳教育及び道徳科の目標及び主な内容を理解している。</w:t>
            </w:r>
          </w:p>
          <w:p w:rsidR="007A4C1F" w:rsidRPr="00CA3DEF" w:rsidRDefault="007A4C1F" w:rsidP="007A4C1F">
            <w:pPr>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(2)道徳の指導法</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1)学校における道徳教育の指導計画や教育活動全体を通じた指導の必要性を理解している。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2)道徳科の特質を生かした多様な指導方法の特徴を理解している。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3)道徳科における教材の特徴を踏まえて、授業設計に活用することができる。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4)授業のねらいや指導過程を明確にして、道徳科の学習指導案を作成することができる。</w:t>
            </w:r>
          </w:p>
          <w:p w:rsidR="007A4C1F" w:rsidRPr="00CA3DEF" w:rsidRDefault="007A4C1F" w:rsidP="007A4C1F">
            <w:pPr>
              <w:ind w:leftChars="100" w:left="210"/>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5)道徳科の特性を踏まえた学習評価の在り方を理解している。</w:t>
            </w:r>
          </w:p>
          <w:p w:rsidR="008D0F77" w:rsidRPr="00CA3DEF" w:rsidRDefault="007A4C1F" w:rsidP="007A4C1F">
            <w:pPr>
              <w:autoSpaceDE w:val="0"/>
              <w:autoSpaceDN w:val="0"/>
              <w:adjustRightInd w:val="0"/>
              <w:ind w:leftChars="100" w:left="210"/>
              <w:jc w:val="left"/>
              <w:rPr>
                <w:rFonts w:ascii="ＭＳ ゴシック" w:eastAsia="ＭＳ ゴシック" w:hAnsi="ＭＳ ゴシック" w:cs="Arial"/>
                <w:sz w:val="18"/>
                <w:szCs w:val="22"/>
              </w:rPr>
            </w:pPr>
            <w:r w:rsidRPr="00CA3DEF">
              <w:rPr>
                <w:rFonts w:asciiTheme="majorEastAsia" w:eastAsiaTheme="majorEastAsia" w:hAnsiTheme="majorEastAsia" w:cs="Arial" w:hint="eastAsia"/>
                <w:sz w:val="18"/>
                <w:szCs w:val="22"/>
              </w:rPr>
              <w:t>6)模擬授業の実施とその振り返りを通して、授業改善の視点を身に付けている。</w:t>
            </w: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r w:rsidRPr="00CA3DEF">
              <w:rPr>
                <w:rFonts w:ascii="Arial" w:hAnsi="Arial" w:cs="Arial"/>
                <w:sz w:val="22"/>
                <w:szCs w:val="22"/>
              </w:rPr>
              <w:lastRenderedPageBreak/>
              <w:t>Course Schedule</w:t>
            </w:r>
          </w:p>
        </w:tc>
      </w:tr>
      <w:tr w:rsidR="005B36FB" w:rsidRPr="00CA3DEF" w:rsidTr="005B36FB">
        <w:tc>
          <w:tcPr>
            <w:tcW w:w="1570" w:type="dxa"/>
            <w:shd w:val="clear" w:color="auto" w:fill="auto"/>
          </w:tcPr>
          <w:p w:rsidR="005B36FB" w:rsidRPr="00CA3DEF" w:rsidRDefault="005B36FB" w:rsidP="005B36FB">
            <w:pPr>
              <w:jc w:val="center"/>
              <w:rPr>
                <w:rFonts w:ascii="Arial" w:hAnsi="Arial" w:cs="Arial"/>
                <w:sz w:val="22"/>
                <w:szCs w:val="22"/>
              </w:rPr>
            </w:pPr>
            <w:r w:rsidRPr="00CA3DEF">
              <w:rPr>
                <w:rFonts w:ascii="Arial" w:hAnsi="Arial" w:cs="Arial"/>
                <w:sz w:val="22"/>
                <w:szCs w:val="22"/>
              </w:rPr>
              <w:t>Day</w:t>
            </w:r>
          </w:p>
        </w:tc>
        <w:tc>
          <w:tcPr>
            <w:tcW w:w="3015" w:type="dxa"/>
            <w:shd w:val="clear" w:color="auto" w:fill="auto"/>
          </w:tcPr>
          <w:p w:rsidR="005B36FB" w:rsidRPr="00CA3DEF" w:rsidRDefault="005B36FB" w:rsidP="005B36FB">
            <w:pPr>
              <w:jc w:val="center"/>
              <w:rPr>
                <w:rFonts w:ascii="Arial" w:hAnsi="Arial" w:cs="Arial"/>
                <w:sz w:val="22"/>
                <w:szCs w:val="22"/>
              </w:rPr>
            </w:pPr>
            <w:r w:rsidRPr="00CA3DEF">
              <w:rPr>
                <w:rFonts w:ascii="Arial" w:hAnsi="Arial" w:cs="Arial"/>
                <w:sz w:val="22"/>
                <w:szCs w:val="22"/>
              </w:rPr>
              <w:t>Topic</w:t>
            </w:r>
          </w:p>
        </w:tc>
        <w:tc>
          <w:tcPr>
            <w:tcW w:w="5151" w:type="dxa"/>
            <w:shd w:val="clear" w:color="auto" w:fill="auto"/>
          </w:tcPr>
          <w:p w:rsidR="005B36FB" w:rsidRPr="00CA3DEF" w:rsidRDefault="005B36FB" w:rsidP="005B36FB">
            <w:pPr>
              <w:jc w:val="center"/>
              <w:rPr>
                <w:rFonts w:ascii="Arial" w:hAnsi="Arial" w:cs="Arial"/>
                <w:sz w:val="22"/>
                <w:szCs w:val="22"/>
              </w:rPr>
            </w:pPr>
            <w:r w:rsidRPr="00CA3DEF">
              <w:rPr>
                <w:rFonts w:ascii="Arial" w:hAnsi="Arial" w:cs="Arial"/>
                <w:sz w:val="22"/>
                <w:szCs w:val="22"/>
              </w:rPr>
              <w:t>Content/Activities</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w:t>
            </w:r>
          </w:p>
        </w:tc>
        <w:tc>
          <w:tcPr>
            <w:tcW w:w="3015" w:type="dxa"/>
            <w:shd w:val="clear" w:color="auto" w:fill="auto"/>
          </w:tcPr>
          <w:p w:rsidR="007A4C1F" w:rsidRPr="00CA3DEF" w:rsidRDefault="007A4C1F" w:rsidP="007A4C1F">
            <w:pPr>
              <w:jc w:val="left"/>
              <w:rPr>
                <w:rFonts w:ascii="Arial" w:hAnsi="Arial" w:cs="Arial"/>
                <w:sz w:val="22"/>
                <w:szCs w:val="22"/>
              </w:rPr>
            </w:pPr>
            <w:r w:rsidRPr="00CA3DEF">
              <w:rPr>
                <w:rFonts w:ascii="ＭＳ ゴシック" w:eastAsia="ＭＳ ゴシック" w:hAnsi="ＭＳ ゴシック" w:hint="eastAsia"/>
                <w:snapToGrid w:val="0"/>
                <w:kern w:val="0"/>
                <w:sz w:val="18"/>
                <w:szCs w:val="18"/>
              </w:rPr>
              <w:t>「道徳」とは何か</w:t>
            </w:r>
          </w:p>
        </w:tc>
        <w:tc>
          <w:tcPr>
            <w:tcW w:w="5151" w:type="dxa"/>
            <w:shd w:val="clear" w:color="auto" w:fill="auto"/>
          </w:tcPr>
          <w:p w:rsidR="007A4C1F" w:rsidRPr="00CA3DEF" w:rsidRDefault="007A4C1F" w:rsidP="007A4C1F">
            <w:pPr>
              <w:autoSpaceDE w:val="0"/>
              <w:autoSpaceDN w:val="0"/>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道徳的問題について具体的に考えながら、道徳の本質、道徳教育の意義について、「道徳」概念の歴史的変遷を踏まえて理解する。さらに、「道徳を教える」とはどういうことかについて、考えを深める。（目標(1)-1)）</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2</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Theme="majorEastAsia" w:eastAsiaTheme="majorEastAsia" w:hAnsiTheme="majorEastAsia" w:cs="Arial" w:hint="eastAsia"/>
                <w:sz w:val="18"/>
                <w:szCs w:val="22"/>
              </w:rPr>
              <w:t>現代社会における道徳教育の課題</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我が国の道徳教育の歴史を踏まえたうえで、現代社会における道徳教育の課題について考え、道徳の教科化の背景について理解する。特に、いじめ問題、グローバル化を背景とした社会の変化に伴う価値観の多様化を取り上げる。（目標(1)-</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3</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子どもの心の成長と道徳性の発達①</w:t>
            </w:r>
          </w:p>
        </w:tc>
        <w:tc>
          <w:tcPr>
            <w:tcW w:w="5151" w:type="dxa"/>
            <w:shd w:val="clear" w:color="auto" w:fill="auto"/>
          </w:tcPr>
          <w:p w:rsidR="007A4C1F" w:rsidRPr="00CA3DEF" w:rsidRDefault="007A4C1F" w:rsidP="007A4C1F">
            <w:pPr>
              <w:autoSpaceDE w:val="0"/>
              <w:autoSpaceDN w:val="0"/>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幼児期から児童期にかけての子どもの心の成長と道徳性の発達について、主にピアジェの研究を中心に理解する。道徳性の発達が他律から自律へ向かうこと、幼児期から児童期においては大人の影響が大きいことを理解する。（目標(1)-</w:t>
            </w:r>
            <w:r w:rsidRPr="00CA3DEF">
              <w:rPr>
                <w:rFonts w:ascii="ＭＳ ゴシック" w:eastAsia="ＭＳ ゴシック" w:hAnsi="ＭＳ ゴシック"/>
                <w:snapToGrid w:val="0"/>
                <w:kern w:val="0"/>
                <w:sz w:val="18"/>
                <w:szCs w:val="18"/>
              </w:rPr>
              <w:t>3</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4</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子どもの心の成長と道徳性の発達②</w:t>
            </w:r>
          </w:p>
        </w:tc>
        <w:tc>
          <w:tcPr>
            <w:tcW w:w="5151" w:type="dxa"/>
            <w:shd w:val="clear" w:color="auto" w:fill="auto"/>
          </w:tcPr>
          <w:p w:rsidR="007A4C1F" w:rsidRPr="00CA3DEF" w:rsidRDefault="007A4C1F" w:rsidP="007A4C1F">
            <w:pPr>
              <w:autoSpaceDE w:val="0"/>
              <w:autoSpaceDN w:val="0"/>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児童期から青年期にかけての子どもの心の成長と道徳性の発達について、主にコールバーグの認知発達理論と、道徳的思考の発達に関する理論を中心に学習する。道徳性の発達は単なる知識の集積ではなく、認知構造や社会的視点の変化を指すことを理解する。（目標(1)-</w:t>
            </w:r>
            <w:r w:rsidRPr="00CA3DEF">
              <w:rPr>
                <w:rFonts w:ascii="ＭＳ ゴシック" w:eastAsia="ＭＳ ゴシック" w:hAnsi="ＭＳ ゴシック"/>
                <w:snapToGrid w:val="0"/>
                <w:kern w:val="0"/>
                <w:sz w:val="18"/>
                <w:szCs w:val="18"/>
              </w:rPr>
              <w:t>3</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5</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学校教育における道徳教育と道徳科の目標</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中学校学習指導要領及び中学校学習指導要領解説「特別の教科　道徳編」に基づき、学校教育における道徳教育の位置づけ、道徳科の目標・指導内容・指導計画について学習する。学校の教育活動全体を通じて道徳教育を行うことを理解する。（目標(1)-</w:t>
            </w:r>
            <w:r w:rsidRPr="00CA3DEF">
              <w:rPr>
                <w:rFonts w:ascii="ＭＳ ゴシック" w:eastAsia="ＭＳ ゴシック" w:hAnsi="ＭＳ ゴシック"/>
                <w:snapToGrid w:val="0"/>
                <w:kern w:val="0"/>
                <w:sz w:val="18"/>
                <w:szCs w:val="18"/>
              </w:rPr>
              <w:t>4</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1</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6</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道徳の授業構成と指導方法の特徴</w:t>
            </w:r>
          </w:p>
        </w:tc>
        <w:tc>
          <w:tcPr>
            <w:tcW w:w="5151" w:type="dxa"/>
            <w:shd w:val="clear" w:color="auto" w:fill="auto"/>
          </w:tcPr>
          <w:p w:rsidR="007A4C1F" w:rsidRPr="00CA3DEF" w:rsidRDefault="007A4C1F" w:rsidP="007A4C1F">
            <w:pPr>
              <w:autoSpaceDE w:val="0"/>
              <w:autoSpaceDN w:val="0"/>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道徳教育の方法の基本的な考え方を理解したうえで、道徳の授業構成（指導過程）と道徳科の特質を生かした指導方法について学習する。特に、道徳科における質の高い多様な指導法に</w:t>
            </w:r>
            <w:r w:rsidRPr="00CA3DEF">
              <w:rPr>
                <w:rFonts w:ascii="ＭＳ ゴシック" w:eastAsia="ＭＳ ゴシック" w:hAnsi="ＭＳ ゴシック" w:hint="eastAsia"/>
                <w:snapToGrid w:val="0"/>
                <w:kern w:val="0"/>
                <w:sz w:val="18"/>
                <w:szCs w:val="18"/>
              </w:rPr>
              <w:lastRenderedPageBreak/>
              <w:t>ついて具体的に学習する。（目標(</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lastRenderedPageBreak/>
              <w:t>7</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道徳授業の実際</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実際の道徳授業のビデオを見て、授業の流れや子どもの反応、教師の働きかけ、教具・教育方法の工夫について学習する。学校や学級の実態、授業のねらいに応じて適切な指導方法を選択する必要があることを理解する。（目標(</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8</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道徳科における教材の特徴と教材分析①</w:t>
            </w:r>
          </w:p>
        </w:tc>
        <w:tc>
          <w:tcPr>
            <w:tcW w:w="5151" w:type="dxa"/>
            <w:shd w:val="clear" w:color="auto" w:fill="auto"/>
          </w:tcPr>
          <w:p w:rsidR="007A4C1F" w:rsidRPr="00CA3DEF" w:rsidRDefault="007A4C1F" w:rsidP="007A4C1F">
            <w:pPr>
              <w:autoSpaceDE w:val="0"/>
              <w:autoSpaceDN w:val="0"/>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道徳科における教材の特徴を、内容項目と関連させながら具体的に理解するとともに、授業づくりにどのように関連しているかを学習する。また、教材の特徴にあった指導方法についても理解する。（目標(</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3</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9</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道徳科における教材の特徴と教材分析②</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読み物教材の分析から発問を設定する手法について、具体的な教材を用いて学習する。主に、登場人物への自我関与が中心の学習となる教材について理解する。（目標(</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3</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10</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道徳科の学習指導案の作成</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基本的な学習指導案の構成と目的、学習指導案の意義について理解し、ねらいを明確にした学習指導案の作成上のポイント、１時間の授業の指導過程とその工夫について学習する。（目標(</w:t>
            </w:r>
            <w:r w:rsidRPr="00CA3DEF">
              <w:rPr>
                <w:rFonts w:ascii="ＭＳ ゴシック" w:eastAsia="ＭＳ ゴシック" w:hAnsi="ＭＳ ゴシック"/>
                <w:snapToGrid w:val="0"/>
                <w:kern w:val="0"/>
                <w:sz w:val="18"/>
                <w:szCs w:val="18"/>
              </w:rPr>
              <w:t>2</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3</w:t>
            </w:r>
            <w:r w:rsidRPr="00CA3DEF">
              <w:rPr>
                <w:rFonts w:ascii="ＭＳ ゴシック" w:eastAsia="ＭＳ ゴシック" w:hAnsi="ＭＳ ゴシック" w:hint="eastAsia"/>
                <w:snapToGrid w:val="0"/>
                <w:kern w:val="0"/>
                <w:sz w:val="18"/>
                <w:szCs w:val="18"/>
              </w:rPr>
              <w:t>)</w:t>
            </w:r>
            <w:r w:rsidRPr="00CA3DEF">
              <w:rPr>
                <w:rFonts w:ascii="ＭＳ ゴシック" w:eastAsia="ＭＳ ゴシック" w:hAnsi="ＭＳ ゴシック"/>
                <w:snapToGrid w:val="0"/>
                <w:kern w:val="0"/>
                <w:sz w:val="18"/>
                <w:szCs w:val="18"/>
              </w:rPr>
              <w:t>,4</w:t>
            </w:r>
            <w:r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11</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道徳教育における評価と道徳科の評価の在り方</w:t>
            </w:r>
          </w:p>
        </w:tc>
        <w:tc>
          <w:tcPr>
            <w:tcW w:w="5151" w:type="dxa"/>
            <w:shd w:val="clear" w:color="auto" w:fill="auto"/>
          </w:tcPr>
          <w:p w:rsidR="007A4C1F" w:rsidRPr="00CA3DEF" w:rsidRDefault="007A4C1F" w:rsidP="009465F6">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中学校学習指導要領解説「特別の教科　道徳編」に基づき、道徳教育における評価と道徳科の評価の在り方について理解する。また、道徳教育に関する評価の手法について学習する。</w:t>
            </w:r>
            <w:r w:rsidR="009465F6" w:rsidRPr="00CA3DEF">
              <w:rPr>
                <w:rFonts w:ascii="ＭＳ ゴシック" w:eastAsia="ＭＳ ゴシック" w:hAnsi="ＭＳ ゴシック" w:hint="eastAsia"/>
                <w:snapToGrid w:val="0"/>
                <w:kern w:val="0"/>
                <w:sz w:val="18"/>
                <w:szCs w:val="18"/>
              </w:rPr>
              <w:t>（目標(</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5</w:t>
            </w:r>
            <w:r w:rsidR="009465F6"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12</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模擬授業と授業改善①</w:t>
            </w:r>
          </w:p>
        </w:tc>
        <w:tc>
          <w:tcPr>
            <w:tcW w:w="5151" w:type="dxa"/>
            <w:shd w:val="clear" w:color="auto" w:fill="auto"/>
          </w:tcPr>
          <w:p w:rsidR="007A4C1F" w:rsidRPr="00CA3DEF" w:rsidRDefault="007A4C1F" w:rsidP="009465F6">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例示の指導案をもとに模擬授業を行い、導入や資料提示の工夫、効果的な板書の工夫、話し方について、授業改善の視点を学習する。</w:t>
            </w:r>
            <w:r w:rsidR="009465F6" w:rsidRPr="00CA3DEF">
              <w:rPr>
                <w:rFonts w:ascii="ＭＳ ゴシック" w:eastAsia="ＭＳ ゴシック" w:hAnsi="ＭＳ ゴシック" w:hint="eastAsia"/>
                <w:snapToGrid w:val="0"/>
                <w:kern w:val="0"/>
                <w:sz w:val="18"/>
                <w:szCs w:val="18"/>
              </w:rPr>
              <w:t>（目標(</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,6</w:t>
            </w:r>
            <w:r w:rsidR="009465F6"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13</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模擬授業と授業改善②</w:t>
            </w:r>
          </w:p>
        </w:tc>
        <w:tc>
          <w:tcPr>
            <w:tcW w:w="5151" w:type="dxa"/>
            <w:shd w:val="clear" w:color="auto" w:fill="auto"/>
          </w:tcPr>
          <w:p w:rsidR="007A4C1F" w:rsidRPr="00CA3DEF" w:rsidRDefault="007A4C1F" w:rsidP="007A4C1F">
            <w:pPr>
              <w:autoSpaceDE w:val="0"/>
              <w:autoSpaceDN w:val="0"/>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例示の指導案をもとに模擬授業を行い、多面的・多角的な考えが表出されるための話し合い活動やワークシートの工夫について、授業改善の視点を学習する。</w:t>
            </w:r>
            <w:r w:rsidR="009465F6" w:rsidRPr="00CA3DEF">
              <w:rPr>
                <w:rFonts w:ascii="ＭＳ ゴシック" w:eastAsia="ＭＳ ゴシック" w:hAnsi="ＭＳ ゴシック" w:hint="eastAsia"/>
                <w:snapToGrid w:val="0"/>
                <w:kern w:val="0"/>
                <w:sz w:val="18"/>
                <w:szCs w:val="18"/>
              </w:rPr>
              <w:t>（目標(</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,6</w:t>
            </w:r>
            <w:r w:rsidR="009465F6"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14</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模擬授業と授業改善③</w:t>
            </w:r>
          </w:p>
        </w:tc>
        <w:tc>
          <w:tcPr>
            <w:tcW w:w="5151"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例示の指導案をもとに模擬授業を行い、発達の段階に応じた役割演技や体験活動の技術とそのポイントについて、授業改善の視点を学習する。</w:t>
            </w:r>
            <w:r w:rsidR="009465F6" w:rsidRPr="00CA3DEF">
              <w:rPr>
                <w:rFonts w:ascii="ＭＳ ゴシック" w:eastAsia="ＭＳ ゴシック" w:hAnsi="ＭＳ ゴシック" w:hint="eastAsia"/>
                <w:snapToGrid w:val="0"/>
                <w:kern w:val="0"/>
                <w:sz w:val="18"/>
                <w:szCs w:val="18"/>
              </w:rPr>
              <w:t>（目標(</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,6</w:t>
            </w:r>
            <w:r w:rsidR="009465F6" w:rsidRPr="00CA3DEF">
              <w:rPr>
                <w:rFonts w:ascii="ＭＳ ゴシック" w:eastAsia="ＭＳ ゴシック" w:hAnsi="ＭＳ ゴシック" w:hint="eastAsia"/>
                <w:snapToGrid w:val="0"/>
                <w:kern w:val="0"/>
                <w:sz w:val="18"/>
                <w:szCs w:val="18"/>
              </w:rPr>
              <w:t>)）</w:t>
            </w:r>
          </w:p>
        </w:tc>
      </w:tr>
      <w:tr w:rsidR="007A4C1F" w:rsidRPr="00CA3DEF" w:rsidTr="005B36FB">
        <w:tc>
          <w:tcPr>
            <w:tcW w:w="1570" w:type="dxa"/>
            <w:shd w:val="clear" w:color="auto" w:fill="auto"/>
          </w:tcPr>
          <w:p w:rsidR="007A4C1F" w:rsidRPr="00CA3DEF" w:rsidRDefault="007A4C1F" w:rsidP="007A4C1F">
            <w:pPr>
              <w:jc w:val="center"/>
              <w:rPr>
                <w:rFonts w:ascii="Arial" w:hAnsi="Arial" w:cs="Arial"/>
                <w:sz w:val="22"/>
                <w:szCs w:val="22"/>
              </w:rPr>
            </w:pPr>
            <w:r w:rsidRPr="00CA3DEF">
              <w:rPr>
                <w:rFonts w:ascii="Arial" w:hAnsi="Arial" w:cs="Arial"/>
                <w:sz w:val="22"/>
                <w:szCs w:val="22"/>
              </w:rPr>
              <w:t>15</w:t>
            </w:r>
          </w:p>
        </w:tc>
        <w:tc>
          <w:tcPr>
            <w:tcW w:w="3015" w:type="dxa"/>
            <w:shd w:val="clear" w:color="auto" w:fill="auto"/>
          </w:tcPr>
          <w:p w:rsidR="007A4C1F" w:rsidRPr="00CA3DEF" w:rsidRDefault="007A4C1F" w:rsidP="007A4C1F">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道徳科の学習指導案の作成</w:t>
            </w:r>
          </w:p>
        </w:tc>
        <w:tc>
          <w:tcPr>
            <w:tcW w:w="5151" w:type="dxa"/>
            <w:shd w:val="clear" w:color="auto" w:fill="auto"/>
          </w:tcPr>
          <w:p w:rsidR="007A4C1F" w:rsidRPr="00CA3DEF" w:rsidRDefault="007A4C1F" w:rsidP="009465F6">
            <w:pPr>
              <w:jc w:val="left"/>
              <w:rPr>
                <w:rFonts w:asciiTheme="majorEastAsia" w:eastAsiaTheme="majorEastAsia" w:hAnsiTheme="majorEastAsia" w:cs="Arial"/>
                <w:sz w:val="18"/>
                <w:szCs w:val="22"/>
              </w:rPr>
            </w:pPr>
            <w:r w:rsidRPr="00CA3DEF">
              <w:rPr>
                <w:rFonts w:ascii="ＭＳ ゴシック" w:eastAsia="ＭＳ ゴシック" w:hAnsi="ＭＳ ゴシック" w:hint="eastAsia"/>
                <w:snapToGrid w:val="0"/>
                <w:kern w:val="0"/>
                <w:sz w:val="18"/>
                <w:szCs w:val="18"/>
              </w:rPr>
              <w:t>これまでの学習内容を踏まえて、発達の段階に応じた学習指導案を作成する。</w:t>
            </w:r>
            <w:r w:rsidR="009465F6" w:rsidRPr="00CA3DEF">
              <w:rPr>
                <w:rFonts w:ascii="ＭＳ ゴシック" w:eastAsia="ＭＳ ゴシック" w:hAnsi="ＭＳ ゴシック" w:hint="eastAsia"/>
                <w:snapToGrid w:val="0"/>
                <w:kern w:val="0"/>
                <w:sz w:val="18"/>
                <w:szCs w:val="18"/>
              </w:rPr>
              <w:t>（目標(</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2</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,3</w:t>
            </w:r>
            <w:r w:rsidR="009465F6" w:rsidRPr="00CA3DEF">
              <w:rPr>
                <w:rFonts w:ascii="ＭＳ ゴシック" w:eastAsia="ＭＳ ゴシック" w:hAnsi="ＭＳ ゴシック" w:hint="eastAsia"/>
                <w:snapToGrid w:val="0"/>
                <w:kern w:val="0"/>
                <w:sz w:val="18"/>
                <w:szCs w:val="18"/>
              </w:rPr>
              <w:t>)</w:t>
            </w:r>
            <w:r w:rsidR="009465F6" w:rsidRPr="00CA3DEF">
              <w:rPr>
                <w:rFonts w:ascii="ＭＳ ゴシック" w:eastAsia="ＭＳ ゴシック" w:hAnsi="ＭＳ ゴシック"/>
                <w:snapToGrid w:val="0"/>
                <w:kern w:val="0"/>
                <w:sz w:val="18"/>
                <w:szCs w:val="18"/>
              </w:rPr>
              <w:t>,4</w:t>
            </w:r>
            <w:r w:rsidR="009465F6" w:rsidRPr="00CA3DEF">
              <w:rPr>
                <w:rFonts w:ascii="ＭＳ ゴシック" w:eastAsia="ＭＳ ゴシック" w:hAnsi="ＭＳ ゴシック" w:hint="eastAsia"/>
                <w:snapToGrid w:val="0"/>
                <w:kern w:val="0"/>
                <w:sz w:val="18"/>
                <w:szCs w:val="18"/>
              </w:rPr>
              <w:t>)）</w:t>
            </w:r>
          </w:p>
        </w:tc>
      </w:tr>
      <w:tr w:rsidR="005B36FB" w:rsidRPr="00CA3DEF" w:rsidTr="00156A10">
        <w:trPr>
          <w:trHeight w:val="404"/>
        </w:trPr>
        <w:tc>
          <w:tcPr>
            <w:tcW w:w="1570" w:type="dxa"/>
            <w:shd w:val="clear" w:color="auto" w:fill="auto"/>
            <w:vAlign w:val="center"/>
          </w:tcPr>
          <w:p w:rsidR="005B36FB" w:rsidRPr="00CA3DEF" w:rsidRDefault="005B36FB" w:rsidP="005B36FB">
            <w:pPr>
              <w:jc w:val="center"/>
              <w:rPr>
                <w:rFonts w:ascii="Arial" w:hAnsi="Arial" w:cs="Arial"/>
                <w:sz w:val="22"/>
                <w:szCs w:val="22"/>
              </w:rPr>
            </w:pPr>
          </w:p>
        </w:tc>
        <w:tc>
          <w:tcPr>
            <w:tcW w:w="3015" w:type="dxa"/>
            <w:shd w:val="clear" w:color="auto" w:fill="auto"/>
            <w:vAlign w:val="center"/>
          </w:tcPr>
          <w:p w:rsidR="005B36FB" w:rsidRPr="00CA3DEF" w:rsidRDefault="008A1F02" w:rsidP="008A1F02">
            <w:pPr>
              <w:jc w:val="left"/>
              <w:rPr>
                <w:rFonts w:ascii="Arial" w:hAnsi="Arial" w:cs="Arial"/>
                <w:sz w:val="22"/>
                <w:szCs w:val="22"/>
              </w:rPr>
            </w:pPr>
            <w:r w:rsidRPr="00CA3DEF">
              <w:rPr>
                <w:rFonts w:ascii="ＭＳ ゴシック" w:eastAsia="ＭＳ ゴシック" w:hAnsi="ＭＳ ゴシック" w:cs="Arial" w:hint="eastAsia"/>
                <w:sz w:val="18"/>
                <w:szCs w:val="18"/>
              </w:rPr>
              <w:t>期末試験</w:t>
            </w:r>
          </w:p>
        </w:tc>
        <w:tc>
          <w:tcPr>
            <w:tcW w:w="5151" w:type="dxa"/>
            <w:shd w:val="clear" w:color="auto" w:fill="auto"/>
          </w:tcPr>
          <w:p w:rsidR="005B36FB" w:rsidRPr="00CA3DEF" w:rsidRDefault="005B36FB" w:rsidP="005B36FB">
            <w:pPr>
              <w:rPr>
                <w:rFonts w:ascii="Arial" w:hAnsi="Arial" w:cs="Arial"/>
                <w:sz w:val="22"/>
                <w:szCs w:val="22"/>
              </w:rPr>
            </w:pP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p>
          <w:p w:rsidR="00156A10" w:rsidRPr="00CA3DEF" w:rsidRDefault="00156A10" w:rsidP="005B36FB">
            <w:pPr>
              <w:rPr>
                <w:rFonts w:ascii="Arial" w:hAnsi="Arial" w:cs="Arial"/>
                <w:sz w:val="22"/>
                <w:szCs w:val="22"/>
              </w:rPr>
            </w:pP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r w:rsidRPr="00CA3DEF">
              <w:rPr>
                <w:rFonts w:ascii="Arial" w:hAnsi="Arial" w:cs="Arial"/>
                <w:sz w:val="22"/>
                <w:szCs w:val="22"/>
              </w:rPr>
              <w:t>Required Materials:</w:t>
            </w:r>
          </w:p>
        </w:tc>
      </w:tr>
      <w:tr w:rsidR="005B36FB" w:rsidRPr="00CA3DEF" w:rsidTr="00817329">
        <w:tc>
          <w:tcPr>
            <w:tcW w:w="9736" w:type="dxa"/>
            <w:gridSpan w:val="3"/>
            <w:shd w:val="clear" w:color="auto" w:fill="auto"/>
          </w:tcPr>
          <w:p w:rsidR="00D24E11" w:rsidRPr="00CA3DEF" w:rsidRDefault="00D24E11" w:rsidP="00D24E11">
            <w:pPr>
              <w:rPr>
                <w:rFonts w:asciiTheme="majorEastAsia" w:eastAsiaTheme="majorEastAsia" w:hAnsiTheme="majorEastAsia" w:cs="Arial"/>
                <w:sz w:val="18"/>
                <w:szCs w:val="18"/>
              </w:rPr>
            </w:pPr>
            <w:r w:rsidRPr="00CA3DEF">
              <w:rPr>
                <w:rFonts w:asciiTheme="majorEastAsia" w:eastAsiaTheme="majorEastAsia" w:hAnsiTheme="majorEastAsia" w:cs="Arial" w:hint="eastAsia"/>
                <w:sz w:val="18"/>
                <w:szCs w:val="18"/>
              </w:rPr>
              <w:t>テキスト：「中学校学習指導要領解説　特別の教科　道徳編」（</w:t>
            </w:r>
            <w:r w:rsidR="007A2D6F" w:rsidRPr="00CA3DEF">
              <w:rPr>
                <w:rFonts w:asciiTheme="majorEastAsia" w:eastAsiaTheme="majorEastAsia" w:hAnsiTheme="majorEastAsia" w:cs="Arial" w:hint="eastAsia"/>
                <w:sz w:val="18"/>
                <w:szCs w:val="18"/>
              </w:rPr>
              <w:t>最新版</w:t>
            </w:r>
            <w:r w:rsidRPr="00CA3DEF">
              <w:rPr>
                <w:rFonts w:asciiTheme="majorEastAsia" w:eastAsiaTheme="majorEastAsia" w:hAnsiTheme="majorEastAsia" w:cs="Arial" w:hint="eastAsia"/>
                <w:sz w:val="18"/>
                <w:szCs w:val="18"/>
              </w:rPr>
              <w:t>）</w:t>
            </w:r>
          </w:p>
          <w:p w:rsidR="00D24E11" w:rsidRPr="00CA3DEF" w:rsidRDefault="00D24E11" w:rsidP="00B44626">
            <w:pPr>
              <w:rPr>
                <w:rFonts w:asciiTheme="majorEastAsia" w:eastAsiaTheme="majorEastAsia" w:hAnsiTheme="majorEastAsia" w:cs="Arial"/>
                <w:sz w:val="18"/>
                <w:szCs w:val="18"/>
              </w:rPr>
            </w:pPr>
            <w:r w:rsidRPr="00CA3DEF">
              <w:rPr>
                <w:rFonts w:asciiTheme="majorEastAsia" w:eastAsiaTheme="majorEastAsia" w:hAnsiTheme="majorEastAsia" w:cs="Arial" w:hint="eastAsia"/>
                <w:sz w:val="18"/>
                <w:szCs w:val="18"/>
              </w:rPr>
              <w:t xml:space="preserve">　参考書：関係法規等</w:t>
            </w:r>
          </w:p>
          <w:p w:rsidR="00B44626" w:rsidRPr="00CA3DEF" w:rsidRDefault="00B44626" w:rsidP="00B44626">
            <w:pPr>
              <w:rPr>
                <w:rFonts w:ascii="Arial" w:hAnsi="Arial" w:cs="Arial"/>
                <w:sz w:val="22"/>
                <w:szCs w:val="22"/>
              </w:rPr>
            </w:pP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r w:rsidRPr="00CA3DEF">
              <w:rPr>
                <w:rFonts w:ascii="Arial" w:hAnsi="Arial" w:cs="Arial"/>
                <w:sz w:val="22"/>
                <w:szCs w:val="22"/>
              </w:rPr>
              <w:lastRenderedPageBreak/>
              <w:t>Course Policies (Attendance, etc.)</w:t>
            </w:r>
          </w:p>
        </w:tc>
      </w:tr>
      <w:tr w:rsidR="005B36FB" w:rsidRPr="00CA3DEF" w:rsidTr="00817329">
        <w:tc>
          <w:tcPr>
            <w:tcW w:w="9736" w:type="dxa"/>
            <w:gridSpan w:val="3"/>
            <w:shd w:val="clear" w:color="auto" w:fill="auto"/>
          </w:tcPr>
          <w:p w:rsidR="00D24E11" w:rsidRPr="00CA3DEF" w:rsidRDefault="00D24E11" w:rsidP="00D24E11">
            <w:pPr>
              <w:ind w:firstLineChars="100" w:firstLine="180"/>
              <w:rPr>
                <w:rFonts w:ascii="ＭＳ ゴシック" w:eastAsia="ＭＳ ゴシック" w:hAnsi="ＭＳ ゴシック" w:cs="Arial"/>
                <w:sz w:val="18"/>
                <w:szCs w:val="22"/>
              </w:rPr>
            </w:pPr>
            <w:r w:rsidRPr="00CA3DEF">
              <w:rPr>
                <w:rFonts w:ascii="ＭＳ ゴシック" w:eastAsia="ＭＳ ゴシック" w:hAnsi="ＭＳ ゴシック" w:cs="Arial" w:hint="eastAsia"/>
                <w:sz w:val="18"/>
                <w:szCs w:val="22"/>
              </w:rPr>
              <w:t>教員の崇高な使命をよく理解するとともに、道徳教育によって教師と生徒及び生徒相互の人間関係 を深めることが大切であることをしっかり認識して欲しい。授業は欠席や遅刻をすることなく、積 極的に参加するように心がけること。特に、時間に几帳面であることと、日常生活の態度（あいさ つ、身なり、言葉遣い等）には気をつけること。</w:t>
            </w:r>
          </w:p>
          <w:p w:rsidR="00435C5C" w:rsidRPr="00CA3DEF" w:rsidRDefault="00D24E11" w:rsidP="00B44626">
            <w:pPr>
              <w:ind w:firstLineChars="100" w:firstLine="180"/>
              <w:rPr>
                <w:rFonts w:ascii="Arial" w:hAnsi="Arial" w:cs="Arial"/>
                <w:sz w:val="22"/>
                <w:szCs w:val="22"/>
              </w:rPr>
            </w:pPr>
            <w:r w:rsidRPr="00CA3DEF">
              <w:rPr>
                <w:rFonts w:ascii="ＭＳ ゴシック" w:eastAsia="ＭＳ ゴシック" w:hAnsi="ＭＳ ゴシック" w:cs="Arial" w:hint="eastAsia"/>
                <w:sz w:val="18"/>
                <w:szCs w:val="22"/>
              </w:rPr>
              <w:t>学生は、道徳の理論と実践を学ぶが、中学校の道徳の模擬授業に取り組む。事前に道徳の指導案 を作成し、配布し、それに基づいて授業を行う。授業の後には合評会を実施し、意見を交換しあう。 割り当てられた研究発表については、きちんと調べてその要点などを発表する。説明の不足した部分や重要ポイントについては補足説明を加える。 学生はさらにその日の授業に関した課題が与えられるが、グループ活動によりその課題に取り組み、発表を行う。</w:t>
            </w:r>
          </w:p>
        </w:tc>
      </w:tr>
      <w:tr w:rsidR="005B36FB" w:rsidRPr="00CA3DEF" w:rsidTr="00817329">
        <w:tc>
          <w:tcPr>
            <w:tcW w:w="9736" w:type="dxa"/>
            <w:gridSpan w:val="3"/>
            <w:shd w:val="clear" w:color="auto" w:fill="auto"/>
          </w:tcPr>
          <w:p w:rsidR="005B36FB" w:rsidRPr="00CA3DEF" w:rsidRDefault="005B36FB" w:rsidP="005B36FB">
            <w:pPr>
              <w:ind w:left="1134" w:hanging="1134"/>
              <w:rPr>
                <w:rFonts w:ascii="Arial" w:hAnsi="Arial" w:cs="Arial"/>
                <w:bCs/>
                <w:sz w:val="22"/>
                <w:szCs w:val="22"/>
              </w:rPr>
            </w:pPr>
            <w:r w:rsidRPr="00CA3DEF">
              <w:rPr>
                <w:rFonts w:ascii="Arial" w:hAnsi="Arial" w:cs="Arial"/>
                <w:bCs/>
                <w:sz w:val="22"/>
                <w:szCs w:val="22"/>
              </w:rPr>
              <w:t>Class Preparation and Review</w:t>
            </w:r>
          </w:p>
        </w:tc>
      </w:tr>
      <w:tr w:rsidR="005B36FB" w:rsidRPr="00CA3DEF" w:rsidTr="00817329">
        <w:tc>
          <w:tcPr>
            <w:tcW w:w="9736" w:type="dxa"/>
            <w:gridSpan w:val="3"/>
            <w:shd w:val="clear" w:color="auto" w:fill="auto"/>
          </w:tcPr>
          <w:p w:rsidR="001B5D78" w:rsidRPr="00CA3DEF" w:rsidRDefault="001B5D78" w:rsidP="005B36FB">
            <w:pPr>
              <w:rPr>
                <w:rFonts w:asciiTheme="majorEastAsia" w:eastAsiaTheme="majorEastAsia" w:hAnsiTheme="majorEastAsia" w:cs="Arial"/>
                <w:sz w:val="18"/>
                <w:szCs w:val="18"/>
              </w:rPr>
            </w:pPr>
            <w:r w:rsidRPr="00CA3DEF">
              <w:rPr>
                <w:rFonts w:asciiTheme="majorEastAsia" w:eastAsiaTheme="majorEastAsia" w:hAnsiTheme="majorEastAsia" w:cs="Arial" w:hint="eastAsia"/>
                <w:sz w:val="18"/>
                <w:szCs w:val="18"/>
              </w:rPr>
              <w:t>事前・事後学習として週４時間以上行うこと。</w:t>
            </w:r>
          </w:p>
          <w:p w:rsidR="001B5801" w:rsidRPr="00CA3DEF" w:rsidRDefault="00D24E11" w:rsidP="007D2926">
            <w:pPr>
              <w:rPr>
                <w:rFonts w:ascii="Arial" w:hAnsi="Arial" w:cs="Arial"/>
                <w:sz w:val="22"/>
                <w:szCs w:val="22"/>
              </w:rPr>
            </w:pPr>
            <w:r w:rsidRPr="00CA3DEF">
              <w:rPr>
                <w:rFonts w:ascii="ＭＳ ゴシック" w:eastAsia="ＭＳ ゴシック" w:hAnsi="ＭＳ ゴシック" w:hint="eastAsia"/>
                <w:snapToGrid w:val="0"/>
                <w:kern w:val="0"/>
                <w:sz w:val="18"/>
                <w:szCs w:val="18"/>
              </w:rPr>
              <w:t>講義内容について、シラバスの到達目標に記載されているように自分の言葉で他者に説明できるように努めること。</w:t>
            </w: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r w:rsidRPr="00CA3DEF">
              <w:rPr>
                <w:rFonts w:ascii="Arial" w:hAnsi="Arial" w:cs="Arial"/>
                <w:sz w:val="22"/>
                <w:szCs w:val="22"/>
              </w:rPr>
              <w:t>Grades and Grading</w:t>
            </w:r>
            <w:r w:rsidR="001B5801" w:rsidRPr="00CA3DEF">
              <w:rPr>
                <w:rFonts w:ascii="Arial" w:hAnsi="Arial" w:cs="Arial"/>
                <w:sz w:val="22"/>
                <w:szCs w:val="22"/>
              </w:rPr>
              <w:t xml:space="preserve"> Standards</w:t>
            </w:r>
          </w:p>
        </w:tc>
      </w:tr>
      <w:tr w:rsidR="005B36FB" w:rsidRPr="00CA3DEF" w:rsidTr="00817329">
        <w:tc>
          <w:tcPr>
            <w:tcW w:w="9736" w:type="dxa"/>
            <w:gridSpan w:val="3"/>
            <w:shd w:val="clear" w:color="auto" w:fill="auto"/>
          </w:tcPr>
          <w:p w:rsidR="00D24E11" w:rsidRPr="00CA3DEF" w:rsidRDefault="00D24E11" w:rsidP="00B44626">
            <w:pPr>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学習指導案　50％　　定期試験　50％</w:t>
            </w:r>
          </w:p>
          <w:p w:rsidR="00B44626" w:rsidRPr="00CA3DEF" w:rsidRDefault="00B44626" w:rsidP="00B44626">
            <w:pPr>
              <w:rPr>
                <w:rFonts w:ascii="Arial" w:hAnsi="Arial" w:cs="Arial"/>
                <w:sz w:val="22"/>
                <w:szCs w:val="22"/>
              </w:rPr>
            </w:pPr>
          </w:p>
        </w:tc>
      </w:tr>
      <w:tr w:rsidR="001B5801" w:rsidRPr="00CA3DEF" w:rsidTr="00817329">
        <w:tc>
          <w:tcPr>
            <w:tcW w:w="9736" w:type="dxa"/>
            <w:gridSpan w:val="3"/>
            <w:shd w:val="clear" w:color="auto" w:fill="auto"/>
          </w:tcPr>
          <w:p w:rsidR="001B5801" w:rsidRPr="00CA3DEF" w:rsidRDefault="001B5801" w:rsidP="00435C5C">
            <w:pPr>
              <w:rPr>
                <w:rFonts w:ascii="Arial" w:hAnsi="Arial" w:cs="Arial"/>
                <w:sz w:val="22"/>
                <w:szCs w:val="22"/>
              </w:rPr>
            </w:pPr>
            <w:r w:rsidRPr="00CA3DEF">
              <w:rPr>
                <w:rFonts w:ascii="Arial" w:hAnsi="Arial" w:cs="Arial"/>
                <w:sz w:val="22"/>
                <w:szCs w:val="22"/>
              </w:rPr>
              <w:t>Methods of Feedback:</w:t>
            </w:r>
          </w:p>
        </w:tc>
      </w:tr>
      <w:tr w:rsidR="001B5801" w:rsidRPr="00CA3DEF" w:rsidTr="00817329">
        <w:tc>
          <w:tcPr>
            <w:tcW w:w="9736" w:type="dxa"/>
            <w:gridSpan w:val="3"/>
            <w:shd w:val="clear" w:color="auto" w:fill="auto"/>
          </w:tcPr>
          <w:p w:rsidR="00D24E11" w:rsidRPr="00CA3DEF" w:rsidRDefault="00D24E11" w:rsidP="00D24E11">
            <w:pPr>
              <w:autoSpaceDE w:val="0"/>
              <w:autoSpaceDN w:val="0"/>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レポート・答案等の提出物へのフィードバックについては、以下の方法等による。</w:t>
            </w:r>
          </w:p>
          <w:p w:rsidR="00D24E11" w:rsidRPr="00CA3DEF" w:rsidRDefault="00D24E11" w:rsidP="00D24E11">
            <w:pPr>
              <w:autoSpaceDE w:val="0"/>
              <w:autoSpaceDN w:val="0"/>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・コメントを記載して返却する。</w:t>
            </w:r>
          </w:p>
          <w:p w:rsidR="00D24E11" w:rsidRPr="00CA3DEF" w:rsidRDefault="00D24E11" w:rsidP="00D24E11">
            <w:pPr>
              <w:autoSpaceDE w:val="0"/>
              <w:autoSpaceDN w:val="0"/>
              <w:rPr>
                <w:rFonts w:ascii="ＭＳ ゴシック" w:eastAsia="ＭＳ ゴシック" w:hAnsi="ＭＳ ゴシック"/>
                <w:snapToGrid w:val="0"/>
                <w:kern w:val="0"/>
                <w:sz w:val="18"/>
                <w:szCs w:val="18"/>
              </w:rPr>
            </w:pPr>
            <w:r w:rsidRPr="00CA3DEF">
              <w:rPr>
                <w:rFonts w:ascii="ＭＳ ゴシック" w:eastAsia="ＭＳ ゴシック" w:hAnsi="ＭＳ ゴシック" w:hint="eastAsia"/>
                <w:snapToGrid w:val="0"/>
                <w:kern w:val="0"/>
                <w:sz w:val="18"/>
                <w:szCs w:val="18"/>
              </w:rPr>
              <w:t>・授業またはオフィスアワーに、口頭で行う。</w:t>
            </w:r>
          </w:p>
          <w:p w:rsidR="001B5801" w:rsidRPr="00CA3DEF" w:rsidRDefault="00D24E11" w:rsidP="00D24E11">
            <w:pPr>
              <w:rPr>
                <w:rFonts w:ascii="Arial" w:hAnsi="Arial" w:cs="Arial"/>
                <w:sz w:val="22"/>
                <w:szCs w:val="22"/>
              </w:rPr>
            </w:pPr>
            <w:r w:rsidRPr="00CA3DEF">
              <w:rPr>
                <w:rFonts w:ascii="ＭＳ ゴシック" w:eastAsia="ＭＳ ゴシック" w:hAnsi="ＭＳ ゴシック" w:hint="eastAsia"/>
                <w:snapToGrid w:val="0"/>
                <w:kern w:val="0"/>
                <w:sz w:val="18"/>
                <w:szCs w:val="18"/>
              </w:rPr>
              <w:t>・答案例を配布する。</w:t>
            </w:r>
          </w:p>
        </w:tc>
      </w:tr>
      <w:tr w:rsidR="001B5801" w:rsidRPr="00CA3DEF" w:rsidTr="00817329">
        <w:tc>
          <w:tcPr>
            <w:tcW w:w="9736" w:type="dxa"/>
            <w:gridSpan w:val="3"/>
            <w:shd w:val="clear" w:color="auto" w:fill="auto"/>
          </w:tcPr>
          <w:p w:rsidR="001B5801" w:rsidRPr="00CA3DEF" w:rsidRDefault="001B5801" w:rsidP="00435C5C">
            <w:pPr>
              <w:rPr>
                <w:rFonts w:ascii="Arial" w:hAnsi="Arial" w:cs="Arial"/>
                <w:sz w:val="22"/>
                <w:szCs w:val="22"/>
              </w:rPr>
            </w:pPr>
            <w:r w:rsidRPr="00CA3DEF">
              <w:rPr>
                <w:rFonts w:ascii="Arial" w:hAnsi="Arial" w:cs="Arial"/>
                <w:sz w:val="22"/>
                <w:szCs w:val="22"/>
              </w:rPr>
              <w:t>Diploma Policy Objectives:</w:t>
            </w:r>
          </w:p>
        </w:tc>
      </w:tr>
      <w:tr w:rsidR="001B5801" w:rsidRPr="00CA3DEF" w:rsidTr="00817329">
        <w:tc>
          <w:tcPr>
            <w:tcW w:w="9736" w:type="dxa"/>
            <w:gridSpan w:val="3"/>
            <w:shd w:val="clear" w:color="auto" w:fill="auto"/>
          </w:tcPr>
          <w:p w:rsidR="001B5801" w:rsidRPr="00CA3DEF" w:rsidRDefault="001B5801" w:rsidP="00435C5C">
            <w:pPr>
              <w:rPr>
                <w:rFonts w:ascii="Arial" w:hAnsi="Arial" w:cs="Arial"/>
                <w:sz w:val="22"/>
                <w:szCs w:val="22"/>
              </w:rPr>
            </w:pPr>
            <w:r w:rsidRPr="00CA3DEF">
              <w:rPr>
                <w:rFonts w:ascii="Arial" w:hAnsi="Arial" w:cs="Arial"/>
                <w:sz w:val="22"/>
                <w:szCs w:val="22"/>
              </w:rPr>
              <w:t>Work completed in this course helps students achieve the following Diploma Policy objective(s):</w:t>
            </w:r>
          </w:p>
          <w:p w:rsidR="001B5801" w:rsidRPr="00CA3DEF" w:rsidRDefault="001B5801" w:rsidP="00435C5C">
            <w:pPr>
              <w:rPr>
                <w:rFonts w:ascii="Arial" w:hAnsi="Arial" w:cs="Arial"/>
                <w:sz w:val="22"/>
                <w:szCs w:val="22"/>
              </w:rPr>
            </w:pPr>
          </w:p>
        </w:tc>
      </w:tr>
      <w:tr w:rsidR="005B36FB" w:rsidRPr="00CA3DEF" w:rsidTr="00817329">
        <w:tc>
          <w:tcPr>
            <w:tcW w:w="9736" w:type="dxa"/>
            <w:gridSpan w:val="3"/>
            <w:shd w:val="clear" w:color="auto" w:fill="auto"/>
          </w:tcPr>
          <w:p w:rsidR="005B36FB" w:rsidRPr="00CA3DEF" w:rsidRDefault="005B36FB" w:rsidP="005B36FB">
            <w:pPr>
              <w:rPr>
                <w:rFonts w:ascii="Arial" w:hAnsi="Arial" w:cs="Arial"/>
                <w:sz w:val="22"/>
                <w:szCs w:val="22"/>
              </w:rPr>
            </w:pPr>
            <w:r w:rsidRPr="00CA3DEF">
              <w:rPr>
                <w:rFonts w:ascii="Arial" w:hAnsi="Arial" w:cs="Arial"/>
                <w:sz w:val="22"/>
                <w:szCs w:val="22"/>
              </w:rPr>
              <w:t>Notes:</w:t>
            </w:r>
          </w:p>
        </w:tc>
      </w:tr>
      <w:tr w:rsidR="005B36FB" w:rsidRPr="005B36FB" w:rsidTr="00817329">
        <w:tc>
          <w:tcPr>
            <w:tcW w:w="9736" w:type="dxa"/>
            <w:gridSpan w:val="3"/>
            <w:shd w:val="clear" w:color="auto" w:fill="auto"/>
          </w:tcPr>
          <w:p w:rsidR="00D24E11" w:rsidRPr="00D24E11" w:rsidRDefault="00D24E11" w:rsidP="00D24E11">
            <w:pPr>
              <w:rPr>
                <w:rFonts w:ascii="Arial" w:hAnsi="Arial" w:cs="Arial"/>
                <w:sz w:val="22"/>
                <w:szCs w:val="22"/>
              </w:rPr>
            </w:pPr>
            <w:r w:rsidRPr="00CA3DEF">
              <w:rPr>
                <w:rFonts w:ascii="ＭＳ ゴシック" w:eastAsia="ＭＳ ゴシック" w:hAnsi="ＭＳ ゴシック" w:hint="eastAsia"/>
                <w:snapToGrid w:val="0"/>
                <w:kern w:val="0"/>
                <w:sz w:val="18"/>
                <w:szCs w:val="18"/>
              </w:rPr>
              <w:t>授業中に示される参考文献で基礎となる知識・情報を調べておくこと。</w:t>
            </w:r>
          </w:p>
          <w:p w:rsidR="00435C5C" w:rsidRPr="005B36FB" w:rsidRDefault="00435C5C" w:rsidP="005B36FB">
            <w:pPr>
              <w:rPr>
                <w:rFonts w:ascii="Arial" w:hAnsi="Arial" w:cs="Arial"/>
                <w:sz w:val="22"/>
                <w:szCs w:val="22"/>
              </w:rPr>
            </w:pPr>
          </w:p>
        </w:tc>
      </w:tr>
    </w:tbl>
    <w:p w:rsidR="00D965CE" w:rsidRPr="005B36FB" w:rsidRDefault="00D965CE" w:rsidP="00B44626">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863E8"/>
    <w:rsid w:val="00105268"/>
    <w:rsid w:val="00106374"/>
    <w:rsid w:val="0012569C"/>
    <w:rsid w:val="00127D16"/>
    <w:rsid w:val="0013070D"/>
    <w:rsid w:val="00142AE7"/>
    <w:rsid w:val="0015349B"/>
    <w:rsid w:val="0015520C"/>
    <w:rsid w:val="00156A10"/>
    <w:rsid w:val="001620A3"/>
    <w:rsid w:val="001B5801"/>
    <w:rsid w:val="001B5D78"/>
    <w:rsid w:val="00201822"/>
    <w:rsid w:val="00205534"/>
    <w:rsid w:val="00217B3D"/>
    <w:rsid w:val="002274CC"/>
    <w:rsid w:val="002311A4"/>
    <w:rsid w:val="00264E93"/>
    <w:rsid w:val="002662E3"/>
    <w:rsid w:val="00294420"/>
    <w:rsid w:val="002B4724"/>
    <w:rsid w:val="002C143A"/>
    <w:rsid w:val="002C1636"/>
    <w:rsid w:val="002D6916"/>
    <w:rsid w:val="002F690C"/>
    <w:rsid w:val="00320824"/>
    <w:rsid w:val="00320BD2"/>
    <w:rsid w:val="00321A61"/>
    <w:rsid w:val="00347805"/>
    <w:rsid w:val="00370896"/>
    <w:rsid w:val="00384B08"/>
    <w:rsid w:val="003869BD"/>
    <w:rsid w:val="0039130A"/>
    <w:rsid w:val="003A6C2B"/>
    <w:rsid w:val="003B60B7"/>
    <w:rsid w:val="003E1729"/>
    <w:rsid w:val="003E1BD6"/>
    <w:rsid w:val="003F68A8"/>
    <w:rsid w:val="00404484"/>
    <w:rsid w:val="0041393D"/>
    <w:rsid w:val="00435B8E"/>
    <w:rsid w:val="00435C5C"/>
    <w:rsid w:val="004468C5"/>
    <w:rsid w:val="00457B5A"/>
    <w:rsid w:val="00473825"/>
    <w:rsid w:val="00475A6C"/>
    <w:rsid w:val="00497A1F"/>
    <w:rsid w:val="00497F98"/>
    <w:rsid w:val="004A3CDB"/>
    <w:rsid w:val="004C3805"/>
    <w:rsid w:val="004F3C9E"/>
    <w:rsid w:val="005146A5"/>
    <w:rsid w:val="005226AF"/>
    <w:rsid w:val="00562CCE"/>
    <w:rsid w:val="005651D4"/>
    <w:rsid w:val="00583213"/>
    <w:rsid w:val="00584BF0"/>
    <w:rsid w:val="005B0B75"/>
    <w:rsid w:val="005B2B53"/>
    <w:rsid w:val="005B36FB"/>
    <w:rsid w:val="005C4DC5"/>
    <w:rsid w:val="005D1BB9"/>
    <w:rsid w:val="005E7253"/>
    <w:rsid w:val="006131E9"/>
    <w:rsid w:val="006269E2"/>
    <w:rsid w:val="006406A8"/>
    <w:rsid w:val="00666F21"/>
    <w:rsid w:val="0067018C"/>
    <w:rsid w:val="006702DA"/>
    <w:rsid w:val="006A3337"/>
    <w:rsid w:val="006C242F"/>
    <w:rsid w:val="007456F4"/>
    <w:rsid w:val="00756A15"/>
    <w:rsid w:val="0078189C"/>
    <w:rsid w:val="00782BC8"/>
    <w:rsid w:val="007A2D6F"/>
    <w:rsid w:val="007A45DD"/>
    <w:rsid w:val="007A4C1F"/>
    <w:rsid w:val="007D2926"/>
    <w:rsid w:val="007D705C"/>
    <w:rsid w:val="007E4E68"/>
    <w:rsid w:val="007F5C62"/>
    <w:rsid w:val="007F7F46"/>
    <w:rsid w:val="008153C6"/>
    <w:rsid w:val="00815A47"/>
    <w:rsid w:val="00817329"/>
    <w:rsid w:val="00824D90"/>
    <w:rsid w:val="0083509E"/>
    <w:rsid w:val="0084108D"/>
    <w:rsid w:val="008419EE"/>
    <w:rsid w:val="00850E67"/>
    <w:rsid w:val="008512D1"/>
    <w:rsid w:val="00855DB2"/>
    <w:rsid w:val="00882ADD"/>
    <w:rsid w:val="008A1F02"/>
    <w:rsid w:val="008D0F77"/>
    <w:rsid w:val="008F309F"/>
    <w:rsid w:val="008F6469"/>
    <w:rsid w:val="0090705B"/>
    <w:rsid w:val="00920379"/>
    <w:rsid w:val="0092481A"/>
    <w:rsid w:val="009465F6"/>
    <w:rsid w:val="00950E65"/>
    <w:rsid w:val="00952489"/>
    <w:rsid w:val="009719A3"/>
    <w:rsid w:val="00992BF9"/>
    <w:rsid w:val="009B08F6"/>
    <w:rsid w:val="009B1FA0"/>
    <w:rsid w:val="009B6F09"/>
    <w:rsid w:val="009D004B"/>
    <w:rsid w:val="009D25D2"/>
    <w:rsid w:val="009D2C47"/>
    <w:rsid w:val="009E606D"/>
    <w:rsid w:val="009F272C"/>
    <w:rsid w:val="009F743F"/>
    <w:rsid w:val="00A50A87"/>
    <w:rsid w:val="00A51A44"/>
    <w:rsid w:val="00A631D0"/>
    <w:rsid w:val="00B01880"/>
    <w:rsid w:val="00B11BBC"/>
    <w:rsid w:val="00B44626"/>
    <w:rsid w:val="00B54CCD"/>
    <w:rsid w:val="00B56A1A"/>
    <w:rsid w:val="00B6526F"/>
    <w:rsid w:val="00BA0A2F"/>
    <w:rsid w:val="00BE0E63"/>
    <w:rsid w:val="00C1462C"/>
    <w:rsid w:val="00C20338"/>
    <w:rsid w:val="00C50380"/>
    <w:rsid w:val="00C84E79"/>
    <w:rsid w:val="00C947DA"/>
    <w:rsid w:val="00CA2C5A"/>
    <w:rsid w:val="00CA3DEF"/>
    <w:rsid w:val="00CB2A21"/>
    <w:rsid w:val="00CC2001"/>
    <w:rsid w:val="00CD1D14"/>
    <w:rsid w:val="00CE3751"/>
    <w:rsid w:val="00CF20AF"/>
    <w:rsid w:val="00CF627C"/>
    <w:rsid w:val="00D0699B"/>
    <w:rsid w:val="00D06BE1"/>
    <w:rsid w:val="00D1206A"/>
    <w:rsid w:val="00D24E11"/>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E6BE4"/>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5E24D2E"/>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1926F-8400-41E5-9FF2-F4B6941B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TotalTime>
  <Pages>4</Pages>
  <Words>3044</Words>
  <Characters>850</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5</cp:revision>
  <cp:lastPrinted>2018-04-23T07:01:00Z</cp:lastPrinted>
  <dcterms:created xsi:type="dcterms:W3CDTF">2018-07-10T04:57:00Z</dcterms:created>
  <dcterms:modified xsi:type="dcterms:W3CDTF">2019-10-23T07:11:00Z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